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8C" w:rsidRPr="002B02A7" w:rsidRDefault="009E761D" w:rsidP="009E761D">
      <w:pPr>
        <w:jc w:val="center"/>
        <w:rPr>
          <w:b/>
          <w:sz w:val="32"/>
          <w:u w:val="single"/>
        </w:rPr>
      </w:pPr>
      <w:r w:rsidRPr="002B02A7">
        <w:rPr>
          <w:b/>
          <w:sz w:val="32"/>
          <w:u w:val="single"/>
        </w:rPr>
        <w:t xml:space="preserve">CEP/ National School Lunch Program Overview: </w:t>
      </w:r>
    </w:p>
    <w:p w:rsidR="009E761D" w:rsidRPr="00C610EE" w:rsidRDefault="002B02A7" w:rsidP="00C610EE">
      <w:pPr>
        <w:jc w:val="center"/>
        <w:rPr>
          <w:b/>
          <w:sz w:val="20"/>
        </w:rPr>
      </w:pPr>
      <w:r>
        <w:rPr>
          <w:b/>
          <w:sz w:val="20"/>
        </w:rPr>
        <w:t>For any further questions or concerns, please email the district’s Registered Dietitian: Hayley Mielnicki, RDN CDN at hmielnicki@uticaschools.org</w:t>
      </w:r>
    </w:p>
    <w:p w:rsidR="002B02A7" w:rsidRDefault="002B02A7" w:rsidP="002B02A7">
      <w:pPr>
        <w:jc w:val="center"/>
        <w:rPr>
          <w:b/>
          <w:sz w:val="24"/>
        </w:rPr>
      </w:pPr>
      <w:r w:rsidRPr="002B02A7">
        <w:rPr>
          <w:b/>
          <w:sz w:val="24"/>
        </w:rPr>
        <w:t xml:space="preserve">CEP: Community Eligibility Provision </w:t>
      </w:r>
    </w:p>
    <w:p w:rsidR="00037A27" w:rsidRPr="00C610EE" w:rsidRDefault="002B02A7" w:rsidP="00C610EE">
      <w:pPr>
        <w:jc w:val="center"/>
        <w:rPr>
          <w:sz w:val="20"/>
        </w:rPr>
      </w:pPr>
      <w:r w:rsidRPr="002B02A7">
        <w:rPr>
          <w:sz w:val="20"/>
        </w:rPr>
        <w:t>The Community Eligibility Provision (CEP) is a non-pricing meal service option for schools and school districts in low-income areas. CEP allows the nation’s highest poverty schools and districts to serve breakfast and lunch at no cost to all enrolled students without collecting household applications. Instead, schools that adopt CEP are reimbursed using a formula based on the percentage of students categorically eligible for free meals based on their participation in other specific means-tested programs, such as the Supplemental Nutrition Assistance Program (SNAP) and Temporary Assistance for Needy Families (TANF).</w:t>
      </w:r>
    </w:p>
    <w:p w:rsidR="00037A27" w:rsidRDefault="00037A27" w:rsidP="002B02A7">
      <w:pPr>
        <w:jc w:val="center"/>
        <w:rPr>
          <w:b/>
          <w:sz w:val="24"/>
        </w:rPr>
      </w:pPr>
      <w:r>
        <w:rPr>
          <w:b/>
          <w:sz w:val="24"/>
        </w:rPr>
        <w:t>National School Lunch Program Guidelines</w:t>
      </w:r>
    </w:p>
    <w:p w:rsidR="00866C85" w:rsidRPr="00866C85" w:rsidRDefault="00037A27" w:rsidP="00025E39">
      <w:pPr>
        <w:jc w:val="center"/>
        <w:rPr>
          <w:b/>
          <w:sz w:val="20"/>
        </w:rPr>
      </w:pPr>
      <w:r>
        <w:rPr>
          <w:sz w:val="20"/>
        </w:rPr>
        <w:t xml:space="preserve">The National School Lunch Program is a federally assisted meal program operating in public and nonprofit private schools and residential child care institutions. It provides nutritionally balanced, low cost or no cost lunches to </w:t>
      </w:r>
      <w:r w:rsidRPr="00866C85">
        <w:rPr>
          <w:sz w:val="20"/>
        </w:rPr>
        <w:t>children each school day.</w:t>
      </w:r>
      <w:r w:rsidRPr="00866C85">
        <w:rPr>
          <w:b/>
          <w:sz w:val="20"/>
        </w:rPr>
        <w:t xml:space="preserve"> </w:t>
      </w:r>
    </w:p>
    <w:p w:rsidR="00866C85" w:rsidRPr="00866C85" w:rsidRDefault="00866C85" w:rsidP="00866C85">
      <w:pPr>
        <w:rPr>
          <w:b/>
          <w:sz w:val="20"/>
        </w:rPr>
      </w:pPr>
      <w:r w:rsidRPr="00866C85">
        <w:rPr>
          <w:b/>
          <w:sz w:val="20"/>
        </w:rPr>
        <w:t>Grade Groups for Meal Planning:</w:t>
      </w:r>
    </w:p>
    <w:p w:rsidR="00866C85" w:rsidRDefault="00866C85" w:rsidP="00866C85">
      <w:pPr>
        <w:rPr>
          <w:sz w:val="20"/>
        </w:rPr>
      </w:pPr>
      <w:r>
        <w:rPr>
          <w:sz w:val="20"/>
        </w:rPr>
        <w:t>Elementary (kindergarten- 5</w:t>
      </w:r>
      <w:r w:rsidRPr="00866C85">
        <w:rPr>
          <w:sz w:val="20"/>
          <w:vertAlign w:val="superscript"/>
        </w:rPr>
        <w:t>th</w:t>
      </w:r>
      <w:r>
        <w:rPr>
          <w:sz w:val="20"/>
        </w:rPr>
        <w:t xml:space="preserve"> grade)</w:t>
      </w:r>
    </w:p>
    <w:p w:rsidR="00866C85" w:rsidRDefault="00866C85" w:rsidP="00866C85">
      <w:pPr>
        <w:rPr>
          <w:sz w:val="20"/>
        </w:rPr>
      </w:pPr>
      <w:r>
        <w:rPr>
          <w:sz w:val="20"/>
        </w:rPr>
        <w:t>Middle (6</w:t>
      </w:r>
      <w:r w:rsidRPr="00866C85">
        <w:rPr>
          <w:sz w:val="20"/>
          <w:vertAlign w:val="superscript"/>
        </w:rPr>
        <w:t>th</w:t>
      </w:r>
      <w:r>
        <w:rPr>
          <w:sz w:val="20"/>
        </w:rPr>
        <w:t>- 8</w:t>
      </w:r>
      <w:r w:rsidRPr="00866C85">
        <w:rPr>
          <w:sz w:val="20"/>
          <w:vertAlign w:val="superscript"/>
        </w:rPr>
        <w:t>th</w:t>
      </w:r>
      <w:r>
        <w:rPr>
          <w:sz w:val="20"/>
        </w:rPr>
        <w:t xml:space="preserve"> grade)</w:t>
      </w:r>
    </w:p>
    <w:p w:rsidR="00666200" w:rsidRDefault="00866C85" w:rsidP="00866C85">
      <w:pPr>
        <w:rPr>
          <w:sz w:val="20"/>
        </w:rPr>
      </w:pPr>
      <w:r>
        <w:rPr>
          <w:sz w:val="20"/>
        </w:rPr>
        <w:t>High School (9</w:t>
      </w:r>
      <w:r w:rsidRPr="00866C85">
        <w:rPr>
          <w:sz w:val="20"/>
          <w:vertAlign w:val="superscript"/>
        </w:rPr>
        <w:t>th</w:t>
      </w:r>
      <w:r>
        <w:rPr>
          <w:sz w:val="20"/>
        </w:rPr>
        <w:t>-12</w:t>
      </w:r>
      <w:r w:rsidRPr="00866C85">
        <w:rPr>
          <w:sz w:val="20"/>
          <w:vertAlign w:val="superscript"/>
        </w:rPr>
        <w:t>th</w:t>
      </w:r>
      <w:r>
        <w:rPr>
          <w:sz w:val="20"/>
        </w:rPr>
        <w:t xml:space="preserve"> grade)  </w:t>
      </w:r>
    </w:p>
    <w:p w:rsidR="00666200" w:rsidRPr="00025E39" w:rsidRDefault="00666200" w:rsidP="00025E39">
      <w:pPr>
        <w:pStyle w:val="ListParagraph"/>
        <w:numPr>
          <w:ilvl w:val="0"/>
          <w:numId w:val="1"/>
        </w:numPr>
        <w:rPr>
          <w:sz w:val="20"/>
        </w:rPr>
      </w:pPr>
      <w:r w:rsidRPr="00025E39">
        <w:rPr>
          <w:sz w:val="20"/>
        </w:rPr>
        <w:t xml:space="preserve">The table below describes each of the meal components that are required to be served each </w:t>
      </w:r>
      <w:r w:rsidRPr="00025E39">
        <w:rPr>
          <w:b/>
          <w:sz w:val="20"/>
          <w:u w:val="single"/>
        </w:rPr>
        <w:t>week</w:t>
      </w:r>
      <w:r w:rsidRPr="00025E39">
        <w:rPr>
          <w:sz w:val="20"/>
        </w:rPr>
        <w:t xml:space="preserve">. </w:t>
      </w:r>
      <w:r w:rsidR="008E6177" w:rsidRPr="00025E39">
        <w:rPr>
          <w:sz w:val="20"/>
        </w:rPr>
        <w:t xml:space="preserve">Each student must take 3 of the 5 main components (meat/meat alternate, vegetable, fruit, grain, milk) each day. One of the 3 components must be a fruit or vegetable. </w:t>
      </w:r>
    </w:p>
    <w:tbl>
      <w:tblPr>
        <w:tblStyle w:val="TableGrid"/>
        <w:tblW w:w="0" w:type="auto"/>
        <w:tblLook w:val="04A0" w:firstRow="1" w:lastRow="0" w:firstColumn="1" w:lastColumn="0" w:noHBand="0" w:noVBand="1"/>
      </w:tblPr>
      <w:tblGrid>
        <w:gridCol w:w="2337"/>
        <w:gridCol w:w="2337"/>
        <w:gridCol w:w="2338"/>
        <w:gridCol w:w="2338"/>
      </w:tblGrid>
      <w:tr w:rsidR="00666200" w:rsidRPr="00666200" w:rsidTr="00666200">
        <w:tc>
          <w:tcPr>
            <w:tcW w:w="2337" w:type="dxa"/>
          </w:tcPr>
          <w:p w:rsidR="00666200" w:rsidRPr="00666200" w:rsidRDefault="00666200" w:rsidP="00866C85">
            <w:pPr>
              <w:rPr>
                <w:b/>
                <w:sz w:val="20"/>
              </w:rPr>
            </w:pPr>
            <w:r w:rsidRPr="00666200">
              <w:rPr>
                <w:b/>
                <w:sz w:val="20"/>
              </w:rPr>
              <w:t>Components</w:t>
            </w:r>
          </w:p>
        </w:tc>
        <w:tc>
          <w:tcPr>
            <w:tcW w:w="2337" w:type="dxa"/>
          </w:tcPr>
          <w:p w:rsidR="00666200" w:rsidRPr="00666200" w:rsidRDefault="00666200" w:rsidP="00866C85">
            <w:pPr>
              <w:rPr>
                <w:b/>
                <w:sz w:val="20"/>
              </w:rPr>
            </w:pPr>
            <w:r w:rsidRPr="00666200">
              <w:rPr>
                <w:b/>
                <w:sz w:val="20"/>
              </w:rPr>
              <w:t>Elementary</w:t>
            </w:r>
          </w:p>
        </w:tc>
        <w:tc>
          <w:tcPr>
            <w:tcW w:w="2338" w:type="dxa"/>
          </w:tcPr>
          <w:p w:rsidR="00666200" w:rsidRPr="00666200" w:rsidRDefault="00666200" w:rsidP="00866C85">
            <w:pPr>
              <w:rPr>
                <w:b/>
                <w:sz w:val="20"/>
              </w:rPr>
            </w:pPr>
            <w:r w:rsidRPr="00666200">
              <w:rPr>
                <w:b/>
                <w:sz w:val="20"/>
              </w:rPr>
              <w:t>Middle</w:t>
            </w:r>
          </w:p>
        </w:tc>
        <w:tc>
          <w:tcPr>
            <w:tcW w:w="2338" w:type="dxa"/>
          </w:tcPr>
          <w:p w:rsidR="00666200" w:rsidRPr="00666200" w:rsidRDefault="00666200" w:rsidP="00866C85">
            <w:pPr>
              <w:rPr>
                <w:b/>
                <w:sz w:val="20"/>
              </w:rPr>
            </w:pPr>
            <w:r w:rsidRPr="00666200">
              <w:rPr>
                <w:b/>
                <w:sz w:val="20"/>
              </w:rPr>
              <w:t xml:space="preserve">High </w:t>
            </w:r>
          </w:p>
        </w:tc>
      </w:tr>
      <w:tr w:rsidR="00666200" w:rsidTr="00666200">
        <w:tc>
          <w:tcPr>
            <w:tcW w:w="2337" w:type="dxa"/>
          </w:tcPr>
          <w:p w:rsidR="00666200" w:rsidRDefault="00666200" w:rsidP="00866C85">
            <w:pPr>
              <w:rPr>
                <w:sz w:val="20"/>
              </w:rPr>
            </w:pPr>
            <w:r w:rsidRPr="001A0946">
              <w:rPr>
                <w:b/>
                <w:sz w:val="20"/>
              </w:rPr>
              <w:t>Fruits</w:t>
            </w:r>
            <w:r>
              <w:rPr>
                <w:sz w:val="20"/>
              </w:rPr>
              <w:t xml:space="preserve"> (cups/day) </w:t>
            </w:r>
          </w:p>
        </w:tc>
        <w:tc>
          <w:tcPr>
            <w:tcW w:w="2337"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1</w:t>
            </w:r>
          </w:p>
        </w:tc>
      </w:tr>
      <w:tr w:rsidR="00666200" w:rsidTr="00666200">
        <w:tc>
          <w:tcPr>
            <w:tcW w:w="2337" w:type="dxa"/>
          </w:tcPr>
          <w:p w:rsidR="00666200" w:rsidRDefault="00666200" w:rsidP="00866C85">
            <w:pPr>
              <w:rPr>
                <w:sz w:val="20"/>
              </w:rPr>
            </w:pPr>
            <w:r w:rsidRPr="001A0946">
              <w:rPr>
                <w:b/>
                <w:sz w:val="20"/>
              </w:rPr>
              <w:t>Vegetables</w:t>
            </w:r>
            <w:r>
              <w:rPr>
                <w:sz w:val="20"/>
              </w:rPr>
              <w:t xml:space="preserve"> (cups/day)- subgroups listed below</w:t>
            </w:r>
          </w:p>
        </w:tc>
        <w:tc>
          <w:tcPr>
            <w:tcW w:w="2337" w:type="dxa"/>
          </w:tcPr>
          <w:p w:rsidR="00666200" w:rsidRDefault="000C311F" w:rsidP="00866C85">
            <w:pPr>
              <w:rPr>
                <w:sz w:val="20"/>
              </w:rPr>
            </w:pPr>
            <w:r>
              <w:rPr>
                <w:sz w:val="20"/>
              </w:rPr>
              <w:t xml:space="preserve">¾ </w:t>
            </w:r>
          </w:p>
        </w:tc>
        <w:tc>
          <w:tcPr>
            <w:tcW w:w="2338" w:type="dxa"/>
          </w:tcPr>
          <w:p w:rsidR="00666200" w:rsidRDefault="000C311F" w:rsidP="00866C85">
            <w:pPr>
              <w:rPr>
                <w:sz w:val="20"/>
              </w:rPr>
            </w:pPr>
            <w:r>
              <w:rPr>
                <w:sz w:val="20"/>
              </w:rPr>
              <w:t>¾</w:t>
            </w:r>
          </w:p>
        </w:tc>
        <w:tc>
          <w:tcPr>
            <w:tcW w:w="2338" w:type="dxa"/>
          </w:tcPr>
          <w:p w:rsidR="00666200" w:rsidRDefault="000C311F" w:rsidP="00866C85">
            <w:pPr>
              <w:rPr>
                <w:sz w:val="20"/>
              </w:rPr>
            </w:pPr>
            <w:r>
              <w:rPr>
                <w:sz w:val="20"/>
              </w:rPr>
              <w:t>1</w:t>
            </w:r>
          </w:p>
        </w:tc>
      </w:tr>
      <w:tr w:rsidR="00666200" w:rsidTr="00666200">
        <w:tc>
          <w:tcPr>
            <w:tcW w:w="2337" w:type="dxa"/>
          </w:tcPr>
          <w:p w:rsidR="00666200" w:rsidRDefault="001A0946" w:rsidP="00866C85">
            <w:pPr>
              <w:rPr>
                <w:sz w:val="20"/>
              </w:rPr>
            </w:pPr>
            <w:r w:rsidRPr="001A0946">
              <w:rPr>
                <w:b/>
                <w:sz w:val="20"/>
              </w:rPr>
              <w:t>Dark Green</w:t>
            </w:r>
            <w:r>
              <w:rPr>
                <w:sz w:val="20"/>
              </w:rPr>
              <w:t xml:space="preserve"> (cups/week)</w:t>
            </w:r>
          </w:p>
        </w:tc>
        <w:tc>
          <w:tcPr>
            <w:tcW w:w="2337" w:type="dxa"/>
          </w:tcPr>
          <w:p w:rsidR="000C311F" w:rsidRDefault="000C311F" w:rsidP="00866C85">
            <w:pPr>
              <w:rPr>
                <w:sz w:val="20"/>
              </w:rPr>
            </w:pPr>
            <w:r w:rsidRPr="000C311F">
              <w:rPr>
                <w:sz w:val="20"/>
              </w:rPr>
              <w:t>½</w:t>
            </w:r>
          </w:p>
        </w:tc>
        <w:tc>
          <w:tcPr>
            <w:tcW w:w="2338"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 xml:space="preserve">½ </w:t>
            </w:r>
          </w:p>
        </w:tc>
      </w:tr>
      <w:tr w:rsidR="00666200" w:rsidTr="00666200">
        <w:tc>
          <w:tcPr>
            <w:tcW w:w="2337" w:type="dxa"/>
          </w:tcPr>
          <w:p w:rsidR="00666200" w:rsidRDefault="001A0946" w:rsidP="00866C85">
            <w:pPr>
              <w:rPr>
                <w:sz w:val="20"/>
              </w:rPr>
            </w:pPr>
            <w:r w:rsidRPr="001A0946">
              <w:rPr>
                <w:b/>
                <w:sz w:val="20"/>
              </w:rPr>
              <w:t>Red/Orange</w:t>
            </w:r>
            <w:r>
              <w:rPr>
                <w:sz w:val="20"/>
              </w:rPr>
              <w:t xml:space="preserve"> (cups/week)</w:t>
            </w:r>
          </w:p>
        </w:tc>
        <w:tc>
          <w:tcPr>
            <w:tcW w:w="2337" w:type="dxa"/>
          </w:tcPr>
          <w:p w:rsidR="00666200" w:rsidRDefault="000C311F" w:rsidP="00866C85">
            <w:pPr>
              <w:rPr>
                <w:sz w:val="20"/>
              </w:rPr>
            </w:pPr>
            <w:r>
              <w:rPr>
                <w:sz w:val="20"/>
              </w:rPr>
              <w:t xml:space="preserve">¾ </w:t>
            </w:r>
          </w:p>
        </w:tc>
        <w:tc>
          <w:tcPr>
            <w:tcW w:w="2338" w:type="dxa"/>
          </w:tcPr>
          <w:p w:rsidR="00666200" w:rsidRDefault="000C311F" w:rsidP="00866C85">
            <w:pPr>
              <w:rPr>
                <w:sz w:val="20"/>
              </w:rPr>
            </w:pPr>
            <w:r>
              <w:rPr>
                <w:sz w:val="20"/>
              </w:rPr>
              <w:t xml:space="preserve">¾ </w:t>
            </w:r>
          </w:p>
        </w:tc>
        <w:tc>
          <w:tcPr>
            <w:tcW w:w="2338" w:type="dxa"/>
          </w:tcPr>
          <w:p w:rsidR="00666200" w:rsidRDefault="000C311F" w:rsidP="00866C85">
            <w:pPr>
              <w:rPr>
                <w:sz w:val="20"/>
              </w:rPr>
            </w:pPr>
            <w:r>
              <w:rPr>
                <w:sz w:val="20"/>
              </w:rPr>
              <w:t xml:space="preserve">1 ¼ </w:t>
            </w:r>
          </w:p>
        </w:tc>
      </w:tr>
      <w:tr w:rsidR="00666200" w:rsidTr="00666200">
        <w:tc>
          <w:tcPr>
            <w:tcW w:w="2337" w:type="dxa"/>
          </w:tcPr>
          <w:p w:rsidR="00666200" w:rsidRDefault="001A0946" w:rsidP="00866C85">
            <w:pPr>
              <w:rPr>
                <w:sz w:val="20"/>
              </w:rPr>
            </w:pPr>
            <w:r w:rsidRPr="001A0946">
              <w:rPr>
                <w:b/>
                <w:sz w:val="20"/>
              </w:rPr>
              <w:t>Legumes</w:t>
            </w:r>
            <w:r>
              <w:rPr>
                <w:sz w:val="20"/>
              </w:rPr>
              <w:t xml:space="preserve"> (cups/week)</w:t>
            </w:r>
          </w:p>
        </w:tc>
        <w:tc>
          <w:tcPr>
            <w:tcW w:w="2337"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 xml:space="preserve">½ </w:t>
            </w:r>
          </w:p>
        </w:tc>
      </w:tr>
      <w:tr w:rsidR="00666200" w:rsidTr="00666200">
        <w:tc>
          <w:tcPr>
            <w:tcW w:w="2337" w:type="dxa"/>
          </w:tcPr>
          <w:p w:rsidR="00666200" w:rsidRDefault="001A0946" w:rsidP="00866C85">
            <w:pPr>
              <w:rPr>
                <w:sz w:val="20"/>
              </w:rPr>
            </w:pPr>
            <w:r w:rsidRPr="001A0946">
              <w:rPr>
                <w:b/>
                <w:sz w:val="20"/>
              </w:rPr>
              <w:t>Starchy</w:t>
            </w:r>
            <w:r>
              <w:rPr>
                <w:sz w:val="20"/>
              </w:rPr>
              <w:t xml:space="preserve"> (cups/week)</w:t>
            </w:r>
          </w:p>
        </w:tc>
        <w:tc>
          <w:tcPr>
            <w:tcW w:w="2337"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½</w:t>
            </w:r>
          </w:p>
        </w:tc>
      </w:tr>
      <w:tr w:rsidR="00666200" w:rsidTr="00666200">
        <w:tc>
          <w:tcPr>
            <w:tcW w:w="2337" w:type="dxa"/>
          </w:tcPr>
          <w:p w:rsidR="00666200" w:rsidRDefault="001A0946" w:rsidP="00866C85">
            <w:pPr>
              <w:rPr>
                <w:sz w:val="20"/>
              </w:rPr>
            </w:pPr>
            <w:r w:rsidRPr="001A0946">
              <w:rPr>
                <w:b/>
                <w:sz w:val="20"/>
              </w:rPr>
              <w:t>Other</w:t>
            </w:r>
            <w:r>
              <w:rPr>
                <w:sz w:val="20"/>
              </w:rPr>
              <w:t xml:space="preserve"> (cups/week)</w:t>
            </w:r>
          </w:p>
        </w:tc>
        <w:tc>
          <w:tcPr>
            <w:tcW w:w="2337"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 xml:space="preserve">½ </w:t>
            </w:r>
          </w:p>
        </w:tc>
        <w:tc>
          <w:tcPr>
            <w:tcW w:w="2338" w:type="dxa"/>
          </w:tcPr>
          <w:p w:rsidR="00666200" w:rsidRDefault="000C311F" w:rsidP="00866C85">
            <w:pPr>
              <w:rPr>
                <w:sz w:val="20"/>
              </w:rPr>
            </w:pPr>
            <w:r>
              <w:rPr>
                <w:sz w:val="20"/>
              </w:rPr>
              <w:t>¾</w:t>
            </w:r>
          </w:p>
        </w:tc>
      </w:tr>
      <w:tr w:rsidR="00666200" w:rsidTr="00666200">
        <w:tc>
          <w:tcPr>
            <w:tcW w:w="2337" w:type="dxa"/>
          </w:tcPr>
          <w:p w:rsidR="00666200" w:rsidRDefault="001A0946" w:rsidP="00866C85">
            <w:pPr>
              <w:rPr>
                <w:sz w:val="20"/>
              </w:rPr>
            </w:pPr>
            <w:r w:rsidRPr="001A0946">
              <w:rPr>
                <w:b/>
                <w:sz w:val="20"/>
              </w:rPr>
              <w:t>Grains</w:t>
            </w:r>
            <w:r>
              <w:rPr>
                <w:sz w:val="20"/>
              </w:rPr>
              <w:t xml:space="preserve"> (ounce equivalent/day) – over ½ of grains served each week are whole grain </w:t>
            </w:r>
          </w:p>
        </w:tc>
        <w:tc>
          <w:tcPr>
            <w:tcW w:w="2337" w:type="dxa"/>
          </w:tcPr>
          <w:p w:rsidR="00666200" w:rsidRDefault="000C311F" w:rsidP="00866C85">
            <w:pPr>
              <w:rPr>
                <w:sz w:val="20"/>
              </w:rPr>
            </w:pPr>
            <w:r>
              <w:rPr>
                <w:sz w:val="20"/>
              </w:rPr>
              <w:t>1 (8/week)</w:t>
            </w:r>
          </w:p>
        </w:tc>
        <w:tc>
          <w:tcPr>
            <w:tcW w:w="2338" w:type="dxa"/>
          </w:tcPr>
          <w:p w:rsidR="00666200" w:rsidRDefault="000C311F" w:rsidP="00866C85">
            <w:pPr>
              <w:rPr>
                <w:sz w:val="20"/>
              </w:rPr>
            </w:pPr>
            <w:r>
              <w:rPr>
                <w:sz w:val="20"/>
              </w:rPr>
              <w:t>1 (8/ week)</w:t>
            </w:r>
          </w:p>
        </w:tc>
        <w:tc>
          <w:tcPr>
            <w:tcW w:w="2338" w:type="dxa"/>
          </w:tcPr>
          <w:p w:rsidR="00666200" w:rsidRDefault="000C311F" w:rsidP="00866C85">
            <w:pPr>
              <w:rPr>
                <w:sz w:val="20"/>
              </w:rPr>
            </w:pPr>
            <w:r>
              <w:rPr>
                <w:sz w:val="20"/>
              </w:rPr>
              <w:t>2</w:t>
            </w:r>
          </w:p>
        </w:tc>
      </w:tr>
      <w:tr w:rsidR="00666200" w:rsidTr="00666200">
        <w:tc>
          <w:tcPr>
            <w:tcW w:w="2337" w:type="dxa"/>
          </w:tcPr>
          <w:p w:rsidR="00666200" w:rsidRPr="001A0946" w:rsidRDefault="001A0946" w:rsidP="00866C85">
            <w:pPr>
              <w:rPr>
                <w:sz w:val="20"/>
              </w:rPr>
            </w:pPr>
            <w:r w:rsidRPr="001A0946">
              <w:rPr>
                <w:b/>
                <w:sz w:val="20"/>
              </w:rPr>
              <w:t>Meat/Meat Alternate</w:t>
            </w:r>
            <w:r>
              <w:rPr>
                <w:b/>
                <w:sz w:val="20"/>
              </w:rPr>
              <w:t xml:space="preserve"> </w:t>
            </w:r>
            <w:r>
              <w:rPr>
                <w:sz w:val="20"/>
              </w:rPr>
              <w:t xml:space="preserve">(ounces/day) </w:t>
            </w:r>
          </w:p>
        </w:tc>
        <w:tc>
          <w:tcPr>
            <w:tcW w:w="2337" w:type="dxa"/>
          </w:tcPr>
          <w:p w:rsidR="00666200" w:rsidRDefault="000C311F" w:rsidP="00866C85">
            <w:pPr>
              <w:rPr>
                <w:sz w:val="20"/>
              </w:rPr>
            </w:pPr>
            <w:r>
              <w:rPr>
                <w:sz w:val="20"/>
              </w:rPr>
              <w:t>1 (8/week)</w:t>
            </w:r>
          </w:p>
        </w:tc>
        <w:tc>
          <w:tcPr>
            <w:tcW w:w="2338" w:type="dxa"/>
          </w:tcPr>
          <w:p w:rsidR="00666200" w:rsidRDefault="000C311F" w:rsidP="00866C85">
            <w:pPr>
              <w:rPr>
                <w:sz w:val="20"/>
              </w:rPr>
            </w:pPr>
            <w:r>
              <w:rPr>
                <w:sz w:val="20"/>
              </w:rPr>
              <w:t>1 (8/week)</w:t>
            </w:r>
          </w:p>
        </w:tc>
        <w:tc>
          <w:tcPr>
            <w:tcW w:w="2338" w:type="dxa"/>
          </w:tcPr>
          <w:p w:rsidR="00666200" w:rsidRDefault="000C311F" w:rsidP="00866C85">
            <w:pPr>
              <w:rPr>
                <w:sz w:val="20"/>
              </w:rPr>
            </w:pPr>
            <w:r>
              <w:rPr>
                <w:sz w:val="20"/>
              </w:rPr>
              <w:t>2</w:t>
            </w:r>
          </w:p>
        </w:tc>
      </w:tr>
      <w:tr w:rsidR="00666200" w:rsidTr="00666200">
        <w:tc>
          <w:tcPr>
            <w:tcW w:w="2337" w:type="dxa"/>
          </w:tcPr>
          <w:p w:rsidR="00666200" w:rsidRDefault="001A0946" w:rsidP="00866C85">
            <w:pPr>
              <w:rPr>
                <w:sz w:val="20"/>
              </w:rPr>
            </w:pPr>
            <w:r w:rsidRPr="001A0946">
              <w:rPr>
                <w:b/>
                <w:sz w:val="20"/>
              </w:rPr>
              <w:t>Fluid Milk</w:t>
            </w:r>
            <w:r>
              <w:rPr>
                <w:sz w:val="20"/>
              </w:rPr>
              <w:t xml:space="preserve"> (cups/day) </w:t>
            </w:r>
          </w:p>
        </w:tc>
        <w:tc>
          <w:tcPr>
            <w:tcW w:w="2337" w:type="dxa"/>
          </w:tcPr>
          <w:p w:rsidR="00666200" w:rsidRDefault="000C311F" w:rsidP="00866C85">
            <w:pPr>
              <w:rPr>
                <w:sz w:val="20"/>
              </w:rPr>
            </w:pPr>
            <w:r>
              <w:rPr>
                <w:sz w:val="20"/>
              </w:rPr>
              <w:t>1</w:t>
            </w:r>
          </w:p>
        </w:tc>
        <w:tc>
          <w:tcPr>
            <w:tcW w:w="2338" w:type="dxa"/>
          </w:tcPr>
          <w:p w:rsidR="00666200" w:rsidRDefault="000C311F" w:rsidP="00866C85">
            <w:pPr>
              <w:rPr>
                <w:sz w:val="20"/>
              </w:rPr>
            </w:pPr>
            <w:r>
              <w:rPr>
                <w:sz w:val="20"/>
              </w:rPr>
              <w:t>1</w:t>
            </w:r>
          </w:p>
        </w:tc>
        <w:tc>
          <w:tcPr>
            <w:tcW w:w="2338" w:type="dxa"/>
          </w:tcPr>
          <w:p w:rsidR="00666200" w:rsidRDefault="000C311F" w:rsidP="00866C85">
            <w:pPr>
              <w:rPr>
                <w:sz w:val="20"/>
              </w:rPr>
            </w:pPr>
            <w:r>
              <w:rPr>
                <w:sz w:val="20"/>
              </w:rPr>
              <w:t>1</w:t>
            </w:r>
          </w:p>
        </w:tc>
      </w:tr>
    </w:tbl>
    <w:p w:rsidR="00866C85" w:rsidRPr="005E6FE2" w:rsidRDefault="00866C85" w:rsidP="00866C85">
      <w:pPr>
        <w:rPr>
          <w:sz w:val="24"/>
        </w:rPr>
      </w:pPr>
    </w:p>
    <w:p w:rsidR="00ED70AE" w:rsidRPr="005E6FE2" w:rsidRDefault="00ED70AE" w:rsidP="00ED70AE">
      <w:pPr>
        <w:jc w:val="center"/>
        <w:rPr>
          <w:b/>
          <w:sz w:val="24"/>
        </w:rPr>
      </w:pPr>
      <w:r w:rsidRPr="005E6FE2">
        <w:rPr>
          <w:b/>
          <w:sz w:val="24"/>
        </w:rPr>
        <w:t>All meals served at all Utica City Schools adhere to these US</w:t>
      </w:r>
      <w:bookmarkStart w:id="0" w:name="_GoBack"/>
      <w:bookmarkEnd w:id="0"/>
      <w:r w:rsidRPr="005E6FE2">
        <w:rPr>
          <w:b/>
          <w:sz w:val="24"/>
        </w:rPr>
        <w:t>DA and NSLP guidelines.</w:t>
      </w:r>
    </w:p>
    <w:sectPr w:rsidR="00ED70AE" w:rsidRPr="005E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D2998"/>
    <w:multiLevelType w:val="hybridMultilevel"/>
    <w:tmpl w:val="E3A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1D"/>
    <w:rsid w:val="00025E39"/>
    <w:rsid w:val="00037A27"/>
    <w:rsid w:val="000C311F"/>
    <w:rsid w:val="001A0946"/>
    <w:rsid w:val="002B02A7"/>
    <w:rsid w:val="005E6FE2"/>
    <w:rsid w:val="00666200"/>
    <w:rsid w:val="00866C85"/>
    <w:rsid w:val="008E6177"/>
    <w:rsid w:val="009E761D"/>
    <w:rsid w:val="00B33F32"/>
    <w:rsid w:val="00BA25D1"/>
    <w:rsid w:val="00C610EE"/>
    <w:rsid w:val="00ED70AE"/>
    <w:rsid w:val="00F4548C"/>
    <w:rsid w:val="00F8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F977"/>
  <w15:chartTrackingRefBased/>
  <w15:docId w15:val="{4E8DE134-3214-4F5D-B851-69C3E36F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OHM BOCES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A. Mielnicki</dc:creator>
  <cp:keywords/>
  <dc:description/>
  <cp:lastModifiedBy>Hayley A. Mielnicki</cp:lastModifiedBy>
  <cp:revision>16</cp:revision>
  <dcterms:created xsi:type="dcterms:W3CDTF">2019-11-20T15:09:00Z</dcterms:created>
  <dcterms:modified xsi:type="dcterms:W3CDTF">2019-11-20T16:10:00Z</dcterms:modified>
</cp:coreProperties>
</file>